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82" w:rsidRPr="00043DD7" w:rsidRDefault="00F15F82" w:rsidP="00F15F82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43DD7">
        <w:rPr>
          <w:b/>
          <w:sz w:val="40"/>
          <w:szCs w:val="40"/>
          <w:u w:val="single"/>
        </w:rPr>
        <w:t>MPO - OP P</w:t>
      </w:r>
      <w:r w:rsidR="00605B9E" w:rsidRPr="00043DD7">
        <w:rPr>
          <w:b/>
          <w:sz w:val="40"/>
          <w:szCs w:val="40"/>
          <w:u w:val="single"/>
        </w:rPr>
        <w:t xml:space="preserve">IK - program podpory APLIKACE </w:t>
      </w:r>
      <w:r w:rsidRPr="00043DD7">
        <w:rPr>
          <w:b/>
          <w:sz w:val="40"/>
          <w:szCs w:val="40"/>
          <w:u w:val="single"/>
        </w:rPr>
        <w:t>I</w:t>
      </w:r>
      <w:r w:rsidR="00605B9E" w:rsidRPr="00043DD7">
        <w:rPr>
          <w:b/>
          <w:sz w:val="40"/>
          <w:szCs w:val="40"/>
          <w:u w:val="single"/>
        </w:rPr>
        <w:t>V</w:t>
      </w:r>
      <w:r w:rsidRPr="00043DD7">
        <w:rPr>
          <w:b/>
          <w:sz w:val="40"/>
          <w:szCs w:val="40"/>
          <w:u w:val="single"/>
        </w:rPr>
        <w:t xml:space="preserve"> – stručné shrnutí</w:t>
      </w:r>
    </w:p>
    <w:p w:rsidR="00F15F82" w:rsidRPr="00043DD7" w:rsidRDefault="00F15F82" w:rsidP="00F15F82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F15F82" w:rsidRPr="00043DD7" w:rsidRDefault="00F15F82" w:rsidP="00F15F82">
      <w:pPr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>Cíl:</w:t>
      </w:r>
      <w:r w:rsidRPr="00043DD7">
        <w:rPr>
          <w:u w:val="single"/>
        </w:rPr>
        <w:t xml:space="preserve"> 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získávání nových znalostí potřebných pro vývoj nových produktů, materiálů, technologií a služeb prostřednictvím realizace projektů průmyslového výzkumu a experimentálního vývoje. Výsledky těchto činností povedou k zavádění inovací vyšších řádů a k tvorbě produktů konkurenceschopných na světových trzích. </w:t>
      </w:r>
    </w:p>
    <w:p w:rsidR="00F15F82" w:rsidRPr="00043DD7" w:rsidRDefault="00F15F82" w:rsidP="00F15F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eastAsia="cs-CZ"/>
        </w:rPr>
      </w:pPr>
      <w:r w:rsidRPr="00043DD7">
        <w:rPr>
          <w:rFonts w:cs="Calibri"/>
          <w:b/>
          <w:u w:val="single"/>
          <w:lang w:eastAsia="cs-CZ"/>
        </w:rPr>
        <w:t>Podporované aktivity:</w:t>
      </w:r>
    </w:p>
    <w:p w:rsidR="00F15F82" w:rsidRPr="00043DD7" w:rsidRDefault="00F15F82" w:rsidP="00F15F82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realizace průmyslového výzkumu a experimentálního vývoje</w:t>
      </w:r>
    </w:p>
    <w:p w:rsidR="00F15F82" w:rsidRPr="00043DD7" w:rsidRDefault="00F15F82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5F82" w:rsidRPr="00043DD7" w:rsidRDefault="00F15F82" w:rsidP="00F15F8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val="single"/>
          <w:lang w:eastAsia="cs-CZ"/>
        </w:rPr>
      </w:pPr>
      <w:r w:rsidRPr="00043DD7">
        <w:rPr>
          <w:rFonts w:cs="Calibri"/>
          <w:b/>
          <w:u w:val="single"/>
          <w:lang w:eastAsia="cs-CZ"/>
        </w:rPr>
        <w:t xml:space="preserve">Podporovanými aktivitami </w:t>
      </w:r>
      <w:r w:rsidRPr="00043DD7">
        <w:rPr>
          <w:rFonts w:cs="Calibri"/>
          <w:b/>
          <w:caps/>
          <w:u w:val="single"/>
          <w:lang w:eastAsia="cs-CZ"/>
        </w:rPr>
        <w:t>nejsou</w:t>
      </w:r>
      <w:r w:rsidRPr="00043DD7">
        <w:rPr>
          <w:rFonts w:cs="Calibri"/>
          <w:b/>
          <w:u w:val="single"/>
          <w:lang w:eastAsia="cs-CZ"/>
        </w:rPr>
        <w:t>:</w:t>
      </w:r>
    </w:p>
    <w:p w:rsidR="00F15F82" w:rsidRPr="00043DD7" w:rsidRDefault="00F15F82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a) zakládání a rozvoj výzkumných a vývojových center,</w:t>
      </w:r>
    </w:p>
    <w:p w:rsidR="00F15F82" w:rsidRPr="00043DD7" w:rsidRDefault="00F15F82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b) základní výzkum, </w:t>
      </w:r>
    </w:p>
    <w:p w:rsidR="00F15F82" w:rsidRPr="00043DD7" w:rsidRDefault="00F15F82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c) aktivity spojené s podporou vývozu do členských států Evropské unie a třetích zemí, a to podporou přímo vázanou na množství vývozu nebo spojenou se založením a fungováním distribuční sítě nebo jinými běžnými výdaji souvisejícími s vývozními aktivitami,</w:t>
      </w:r>
    </w:p>
    <w:p w:rsidR="00F15F82" w:rsidRPr="00043DD7" w:rsidRDefault="00F15F82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d) aktivity spojené s podporou přednostního užití domácího zboží před zbožím dováženým,</w:t>
      </w:r>
    </w:p>
    <w:p w:rsidR="00F15F82" w:rsidRPr="00043DD7" w:rsidRDefault="00F15F82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e) výrobní aktivity.</w:t>
      </w:r>
    </w:p>
    <w:p w:rsidR="00F15F82" w:rsidRPr="00043DD7" w:rsidRDefault="00F15F82" w:rsidP="00F15F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u w:val="single"/>
          <w:lang w:eastAsia="cs-CZ"/>
        </w:rPr>
      </w:pPr>
    </w:p>
    <w:p w:rsidR="00F15F82" w:rsidRPr="00043DD7" w:rsidRDefault="00AE076C" w:rsidP="00F15F82">
      <w:pPr>
        <w:spacing w:after="0" w:line="240" w:lineRule="auto"/>
        <w:jc w:val="both"/>
        <w:rPr>
          <w:b/>
          <w:u w:val="single"/>
        </w:rPr>
      </w:pPr>
      <w:r w:rsidRPr="00043DD7">
        <w:rPr>
          <w:b/>
          <w:u w:val="single"/>
        </w:rPr>
        <w:t>Ž</w:t>
      </w:r>
      <w:r w:rsidR="00F15F82" w:rsidRPr="00043DD7">
        <w:rPr>
          <w:b/>
          <w:u w:val="single"/>
        </w:rPr>
        <w:t>adatel</w:t>
      </w:r>
      <w:r w:rsidRPr="00043DD7">
        <w:rPr>
          <w:b/>
          <w:u w:val="single"/>
        </w:rPr>
        <w:t xml:space="preserve"> o podporu</w:t>
      </w:r>
      <w:r w:rsidR="00F15F82" w:rsidRPr="00043DD7">
        <w:rPr>
          <w:b/>
        </w:rPr>
        <w:t>:</w:t>
      </w:r>
      <w:r w:rsidR="00F15F82" w:rsidRPr="00043DD7">
        <w:t xml:space="preserve"> </w:t>
      </w:r>
    </w:p>
    <w:p w:rsidR="00F15F82" w:rsidRPr="00043DD7" w:rsidRDefault="00CC5240" w:rsidP="00F15F82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žadatelem je vždy jeden podnikatelský subjekt;</w:t>
      </w:r>
    </w:p>
    <w:p w:rsidR="00CC5240" w:rsidRPr="00043DD7" w:rsidRDefault="00CC5240" w:rsidP="00F15F82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proofErr w:type="spellStart"/>
      <w:r w:rsidRPr="00043DD7">
        <w:rPr>
          <w:rFonts w:ascii="Arial" w:eastAsia="Times New Roman" w:hAnsi="Arial" w:cs="Arial"/>
          <w:sz w:val="19"/>
          <w:szCs w:val="19"/>
          <w:lang w:eastAsia="cs-CZ"/>
        </w:rPr>
        <w:t>spolupříjemc</w:t>
      </w:r>
      <w:r w:rsidR="00A968CA" w:rsidRPr="00043DD7">
        <w:rPr>
          <w:rFonts w:ascii="Arial" w:eastAsia="Times New Roman" w:hAnsi="Arial" w:cs="Arial"/>
          <w:sz w:val="19"/>
          <w:szCs w:val="19"/>
          <w:lang w:eastAsia="cs-CZ"/>
        </w:rPr>
        <w:t>i</w:t>
      </w:r>
      <w:proofErr w:type="spellEnd"/>
      <w:r w:rsidR="00A968CA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mohou být podnikatelské subjekty a výzkumné organizace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  <w:r w:rsidRPr="00043DD7">
        <w:rPr>
          <w:b/>
          <w:u w:val="single"/>
        </w:rPr>
        <w:t>Datum ukončení příjmu žádostí o podporu:</w:t>
      </w:r>
    </w:p>
    <w:p w:rsidR="00F15F82" w:rsidRPr="00043DD7" w:rsidRDefault="0053584D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Datum zahájení příjmu žádostí o podporu: </w:t>
      </w:r>
      <w:r w:rsidR="00605B9E" w:rsidRPr="00043DD7">
        <w:rPr>
          <w:rFonts w:ascii="Arial" w:eastAsia="Times New Roman" w:hAnsi="Arial" w:cs="Arial"/>
          <w:sz w:val="19"/>
          <w:szCs w:val="19"/>
          <w:lang w:eastAsia="cs-CZ"/>
        </w:rPr>
        <w:t>3. 8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. 2017, 9:00</w:t>
      </w:r>
    </w:p>
    <w:p w:rsidR="00F15F82" w:rsidRPr="00043DD7" w:rsidRDefault="0053584D" w:rsidP="00F15F82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Datum ukončení příjmu žádostí o podporu: </w:t>
      </w:r>
      <w:r w:rsidR="00605B9E" w:rsidRPr="00043DD7">
        <w:rPr>
          <w:rFonts w:ascii="Arial" w:eastAsia="Times New Roman" w:hAnsi="Arial" w:cs="Arial"/>
          <w:sz w:val="19"/>
          <w:szCs w:val="19"/>
          <w:lang w:eastAsia="cs-CZ"/>
        </w:rPr>
        <w:t>30</w:t>
      </w:r>
      <w:r w:rsidR="00F15F82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. </w:t>
      </w:r>
      <w:r w:rsidR="00605B9E" w:rsidRPr="00043DD7">
        <w:rPr>
          <w:rFonts w:ascii="Arial" w:eastAsia="Times New Roman" w:hAnsi="Arial" w:cs="Arial"/>
          <w:sz w:val="19"/>
          <w:szCs w:val="19"/>
          <w:lang w:eastAsia="cs-CZ"/>
        </w:rPr>
        <w:t>11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.</w:t>
      </w:r>
      <w:r w:rsidR="00F15F82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201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7</w:t>
      </w:r>
      <w:r w:rsidR="00605B9E" w:rsidRPr="00043DD7">
        <w:rPr>
          <w:rFonts w:ascii="Arial" w:eastAsia="Times New Roman" w:hAnsi="Arial" w:cs="Arial"/>
          <w:sz w:val="19"/>
          <w:szCs w:val="19"/>
          <w:lang w:eastAsia="cs-CZ"/>
        </w:rPr>
        <w:t>, 23:59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>Doba realizace projektu:</w:t>
      </w:r>
      <w:r w:rsidRPr="00043DD7">
        <w:t xml:space="preserve"> </w:t>
      </w:r>
      <w:r w:rsidR="00BC2A09" w:rsidRPr="00043DD7">
        <w:rPr>
          <w:rFonts w:ascii="Arial" w:eastAsia="Times New Roman" w:hAnsi="Arial" w:cs="Arial"/>
          <w:sz w:val="19"/>
          <w:szCs w:val="19"/>
          <w:lang w:eastAsia="cs-CZ"/>
        </w:rPr>
        <w:t>nejzazší te</w:t>
      </w:r>
      <w:r w:rsidR="00BA1C9D" w:rsidRPr="00043DD7">
        <w:rPr>
          <w:rFonts w:ascii="Arial" w:eastAsia="Times New Roman" w:hAnsi="Arial" w:cs="Arial"/>
          <w:sz w:val="19"/>
          <w:szCs w:val="19"/>
          <w:lang w:eastAsia="cs-CZ"/>
        </w:rPr>
        <w:t>rmín pro ukončení projektu je 31. 10</w:t>
      </w:r>
      <w:r w:rsidR="00BC2A09" w:rsidRPr="00043DD7">
        <w:rPr>
          <w:rFonts w:ascii="Arial" w:eastAsia="Times New Roman" w:hAnsi="Arial" w:cs="Arial"/>
          <w:sz w:val="19"/>
          <w:szCs w:val="19"/>
          <w:lang w:eastAsia="cs-CZ"/>
        </w:rPr>
        <w:t>. 2020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>Plánovaná alokace výzvy:</w:t>
      </w:r>
      <w:r w:rsidRPr="00043DD7">
        <w:t xml:space="preserve"> </w:t>
      </w:r>
      <w:r w:rsidR="00BA1C9D" w:rsidRPr="00043DD7">
        <w:rPr>
          <w:rFonts w:ascii="Arial" w:eastAsia="Times New Roman" w:hAnsi="Arial" w:cs="Arial"/>
          <w:sz w:val="19"/>
          <w:szCs w:val="19"/>
          <w:lang w:eastAsia="cs-CZ"/>
        </w:rPr>
        <w:t>1</w:t>
      </w:r>
      <w:r w:rsidR="004262D3" w:rsidRPr="00043DD7">
        <w:rPr>
          <w:rFonts w:ascii="Arial" w:eastAsia="Times New Roman" w:hAnsi="Arial" w:cs="Arial"/>
          <w:sz w:val="19"/>
          <w:szCs w:val="19"/>
          <w:lang w:eastAsia="cs-CZ"/>
        </w:rPr>
        <w:t>,</w:t>
      </w:r>
      <w:r w:rsidR="00BA1C9D" w:rsidRPr="00043DD7">
        <w:rPr>
          <w:rFonts w:ascii="Arial" w:eastAsia="Times New Roman" w:hAnsi="Arial" w:cs="Arial"/>
          <w:sz w:val="19"/>
          <w:szCs w:val="19"/>
          <w:lang w:eastAsia="cs-CZ"/>
        </w:rPr>
        <w:t>6</w:t>
      </w:r>
      <w:r w:rsidR="004262D3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mld. Kč. V případě výraznějšího převisu kvalitních projektů může být alokace navýšena.</w:t>
      </w:r>
    </w:p>
    <w:p w:rsidR="00963F7F" w:rsidRPr="00043DD7" w:rsidRDefault="00963F7F" w:rsidP="00F15F82">
      <w:pPr>
        <w:spacing w:after="0" w:line="240" w:lineRule="auto"/>
        <w:jc w:val="both"/>
      </w:pPr>
    </w:p>
    <w:p w:rsidR="00963F7F" w:rsidRPr="00043DD7" w:rsidRDefault="00963F7F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</w:rPr>
        <w:t xml:space="preserve">Cílové území: 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Území České republiky, mimo území hl. m. Prahy. (rozhodující není sídlo žadatele ale skutečné mí</w:t>
      </w:r>
      <w:r w:rsidR="00B601DE" w:rsidRPr="00043DD7">
        <w:rPr>
          <w:rFonts w:ascii="Arial" w:eastAsia="Times New Roman" w:hAnsi="Arial" w:cs="Arial"/>
          <w:sz w:val="19"/>
          <w:szCs w:val="19"/>
          <w:lang w:eastAsia="cs-CZ"/>
        </w:rPr>
        <w:t>sto realizace projektu = výdajů)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  <w:r w:rsidRPr="00043DD7">
        <w:rPr>
          <w:b/>
          <w:u w:val="single"/>
        </w:rPr>
        <w:t>Způsobilé výdaje</w:t>
      </w:r>
      <w:r w:rsidR="00E267EE" w:rsidRPr="00043DD7">
        <w:rPr>
          <w:b/>
          <w:u w:val="single"/>
        </w:rPr>
        <w:t xml:space="preserve"> (Podrobnější údaje ke způsobilým výdajům viz Příloha č. 1 výzvy)</w:t>
      </w:r>
      <w:r w:rsidRPr="00043DD7">
        <w:rPr>
          <w:b/>
          <w:u w:val="single"/>
        </w:rPr>
        <w:t>: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9F509E" w:rsidRPr="00043DD7" w:rsidRDefault="0060483A" w:rsidP="009F509E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Náklady na smluvní výzkum a konzultační služby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: </w:t>
      </w:r>
      <w:r w:rsidR="004961DC" w:rsidRPr="00043DD7">
        <w:rPr>
          <w:rFonts w:ascii="Arial" w:eastAsia="Times New Roman" w:hAnsi="Arial" w:cs="Arial"/>
          <w:sz w:val="19"/>
          <w:szCs w:val="19"/>
          <w:lang w:eastAsia="cs-CZ"/>
        </w:rPr>
        <w:t>např. výdaje na ověřování prototypů, laboratorní testování vstupů a vzorků; externě nakupované služby poradců, expertů, znalců, kteří nejsou zaměstnanci žadatele</w:t>
      </w:r>
      <w:r w:rsidR="009F509E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ani partnera</w:t>
      </w:r>
      <w:r w:rsidR="004961DC" w:rsidRPr="00043DD7">
        <w:rPr>
          <w:rFonts w:ascii="Arial" w:eastAsia="Times New Roman" w:hAnsi="Arial" w:cs="Arial"/>
          <w:sz w:val="19"/>
          <w:szCs w:val="19"/>
          <w:lang w:eastAsia="cs-CZ"/>
        </w:rPr>
        <w:t>, zpracovávané studie a analýzy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, poznatky a patenty zakoupené nebo pořízené v rámci licence z vnějších zdrojů</w:t>
      </w:r>
      <w:r w:rsidR="004961DC" w:rsidRPr="00043DD7">
        <w:rPr>
          <w:rFonts w:ascii="Arial" w:eastAsia="Times New Roman" w:hAnsi="Arial" w:cs="Arial"/>
          <w:sz w:val="19"/>
          <w:szCs w:val="19"/>
          <w:lang w:eastAsia="cs-CZ"/>
        </w:rPr>
        <w:t>.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</w:p>
    <w:p w:rsidR="009F509E" w:rsidRPr="009F509E" w:rsidRDefault="00E91D5F" w:rsidP="009F509E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Mzdy a pojistné</w:t>
      </w:r>
      <w:r w:rsidR="00F15F82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: </w:t>
      </w:r>
      <w:r w:rsidR="009F509E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Osobní náklady výzkumných pracovníků, techniků a ostatního podpůrného personálu v rozsahu nezbytném pro účely projektu, popř.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jejich alikvotní část odpovídající pracovnímu vytížení zaměstnance na projektu.</w:t>
      </w:r>
      <w:r w:rsidR="009F509E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V</w:t>
      </w:r>
      <w:r w:rsidR="009F509E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rámci osobních mezd pracovníků nepracujících celým svým úvazkem u zaměstnavatele na projektu nelze do způsobilých výdajů zahrnout dovolené</w:t>
      </w:r>
      <w:r w:rsidR="009F509E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a svátky.</w:t>
      </w:r>
      <w:r w:rsidR="009F509E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Mezi podpůrný personál je možné zařadit např. projektového manažera, koordinátora projektu, pracovníka nákupu apod. Osobní náklady podpůrného personálu je nutné vždy odůvodnit a konkretizovat jeho činnosti. Bez uvedené činnosti budou takové osobní náklady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Řídicím orgánem kráceny.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Pracovníci musí být v pracovně-právním vztahu k žadateli, resp. příjemci dotace, včetně dohod o práci konaných mimo pracovní poměr (DPČ, DPP).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Maximální přepočtený pracovní úvazek zaměstnance se musí rovnat maximálně 1,0. Vyšší úvazky nebudou v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žádostech chápány jako způsobilé a Řídicí orgán tak má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právo je krátit kdykoliv v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průběhu realizace a udržitelnosti projektu.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Do způsobilých výdajů není možné zahrnout náklady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v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rámci FKSP a náklady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na pracovníky, kteří by v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projektu měli pouze administrovat žádost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o podporu. Osobní náklady není možné účelově navyšovat pro účely projektu ve vztahu k osobám do projektu zapojených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9F509E" w:rsidRPr="009F509E">
        <w:rPr>
          <w:rFonts w:ascii="Arial" w:eastAsia="Times New Roman" w:hAnsi="Arial" w:cs="Arial"/>
          <w:sz w:val="19"/>
          <w:szCs w:val="19"/>
          <w:lang w:eastAsia="cs-CZ"/>
        </w:rPr>
        <w:t>(referenční mzdy daných pracovníků v minulých účetních období jsou srovnatelné s osobními náklady uvedenými v projektu).</w:t>
      </w:r>
    </w:p>
    <w:p w:rsidR="00E91D5F" w:rsidRPr="00043DD7" w:rsidRDefault="00E91D5F" w:rsidP="0060483A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lastRenderedPageBreak/>
        <w:t>Materiál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: </w:t>
      </w:r>
      <w:r w:rsidR="00B36441" w:rsidRPr="00043DD7">
        <w:rPr>
          <w:rFonts w:ascii="Arial" w:eastAsia="Times New Roman" w:hAnsi="Arial" w:cs="Arial"/>
          <w:sz w:val="19"/>
          <w:szCs w:val="19"/>
          <w:lang w:eastAsia="cs-CZ"/>
        </w:rPr>
        <w:t>náklady na materiál, který je užit pro účely výzkumu a vývoje (např. materiál a komponenty pro stavbu prototypů).</w:t>
      </w:r>
    </w:p>
    <w:p w:rsidR="00B36441" w:rsidRPr="00043DD7" w:rsidRDefault="00E267EE" w:rsidP="00AB54AD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Ostatní režie: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max. 15% z položky Mzdy a pojistné. Mezi náklady, které je možné nárokovat v této položce, zařazujeme náklady na spotřebu energií, náklady</w:t>
      </w:r>
      <w:r w:rsidR="00AB54AD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spojené s využíváním internetu, telefonických služeb, spotřebou kancelářských potřeb a cestovné v rámci projektu. Není možné do způsobilých výdajů v této rozpočtové položce zařazovat např. drobný majetek, mzdy administrativních pracovníků apod.</w:t>
      </w:r>
    </w:p>
    <w:p w:rsidR="00F15F82" w:rsidRPr="00043DD7" w:rsidRDefault="00AB54AD" w:rsidP="00F15F82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Odpisy: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daňově účinné odpisy dlouhodobého hmotného majetku a nehmotného majetku.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3F2AC0" w:rsidRPr="00043DD7" w:rsidRDefault="003F2AC0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Maximální podíl způsobilých výdajů za podporovanou aktivitu průmyslový výzkum nesmí překročit 50% celkových způsobilých výdajů projektu.</w:t>
      </w:r>
    </w:p>
    <w:p w:rsidR="00F15F82" w:rsidRPr="00043DD7" w:rsidRDefault="00F15F82" w:rsidP="00F15F82">
      <w:pPr>
        <w:spacing w:after="0" w:line="240" w:lineRule="auto"/>
        <w:jc w:val="both"/>
      </w:pPr>
    </w:p>
    <w:p w:rsidR="00F15F82" w:rsidRPr="00043DD7" w:rsidRDefault="00F15F82" w:rsidP="00F15F82">
      <w:pPr>
        <w:spacing w:after="0" w:line="240" w:lineRule="auto"/>
        <w:jc w:val="both"/>
      </w:pPr>
      <w:r w:rsidRPr="00043DD7">
        <w:rPr>
          <w:b/>
          <w:u w:val="single"/>
        </w:rPr>
        <w:t>Forma a výše podpory</w:t>
      </w:r>
      <w:r w:rsidRPr="00043DD7">
        <w:rPr>
          <w:b/>
        </w:rPr>
        <w:t>:</w:t>
      </w:r>
      <w:r w:rsidRPr="00043DD7">
        <w:t xml:space="preserve"> </w:t>
      </w:r>
    </w:p>
    <w:p w:rsidR="00F15F82" w:rsidRPr="00043DD7" w:rsidRDefault="00F15F82" w:rsidP="00F15F82">
      <w:pPr>
        <w:spacing w:after="0" w:line="240" w:lineRule="auto"/>
        <w:jc w:val="both"/>
      </w:pP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Maximální míra veřejné podpory je dána následující tabulkou, kde jsou rozhodující kategorie podporovaných aktivit a velikost podniku:</w:t>
      </w: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15F82" w:rsidRPr="00043DD7" w:rsidTr="009277D9"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kategorie činnosti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malý podnik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střední podnik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velký podnik</w:t>
            </w:r>
          </w:p>
        </w:tc>
      </w:tr>
      <w:tr w:rsidR="00F15F82" w:rsidRPr="00043DD7" w:rsidTr="009277D9"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průmyslový výzkum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70%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60%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50%</w:t>
            </w:r>
          </w:p>
        </w:tc>
      </w:tr>
      <w:tr w:rsidR="00F15F82" w:rsidRPr="00043DD7" w:rsidTr="009277D9"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experimentální vývoj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45%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35%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25%</w:t>
            </w:r>
          </w:p>
        </w:tc>
      </w:tr>
    </w:tbl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V případě realizace projektu, který zahrnuje účinnou spolupráci mezi členy konsorcia, je maximální míra veřejné podpory podle kategorie podporovaných aktivit a velikosti podniku následující: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15F82" w:rsidRPr="00043DD7" w:rsidTr="009277D9"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kategorie činnosti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malý podnik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střední podnik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velký podnik</w:t>
            </w:r>
          </w:p>
        </w:tc>
      </w:tr>
      <w:tr w:rsidR="00F15F82" w:rsidRPr="00043DD7" w:rsidTr="009277D9"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průmyslový výzkum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80%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75%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65%</w:t>
            </w:r>
          </w:p>
        </w:tc>
      </w:tr>
      <w:tr w:rsidR="00F15F82" w:rsidRPr="00043DD7" w:rsidTr="009277D9"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experimentální vývoj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60%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50%</w:t>
            </w:r>
          </w:p>
        </w:tc>
        <w:tc>
          <w:tcPr>
            <w:tcW w:w="2303" w:type="dxa"/>
            <w:shd w:val="clear" w:color="auto" w:fill="auto"/>
          </w:tcPr>
          <w:p w:rsidR="00F15F82" w:rsidRPr="00043DD7" w:rsidRDefault="00F15F82" w:rsidP="009277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40%</w:t>
            </w:r>
          </w:p>
        </w:tc>
      </w:tr>
    </w:tbl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</w:p>
    <w:p w:rsidR="001D52CD" w:rsidRPr="00043DD7" w:rsidRDefault="003B7EEE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V režimu nezakládajícím veřejnou podporu je podpora poskytována v souladu s Rámcem a to pro subjekty, které splňují definici organiza</w:t>
      </w:r>
      <w:r w:rsidR="001D52CD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ce pro výzkum a šíření znalostí. Maximální intenzita podpory zde nesmí přesáhnout </w:t>
      </w:r>
      <w:r w:rsidR="001D52CD"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75%</w:t>
      </w:r>
      <w:r w:rsidR="001D52CD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z celkových způsobilých výdajů výzkumné organizace bez ohledu na velikost výzkumné organizace či místa realizace: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D52CD" w:rsidRPr="00043DD7" w:rsidTr="001D52CD">
        <w:tc>
          <w:tcPr>
            <w:tcW w:w="4889" w:type="dxa"/>
            <w:vMerge w:val="restart"/>
          </w:tcPr>
          <w:p w:rsidR="001D52CD" w:rsidRPr="00043DD7" w:rsidRDefault="001D52CD" w:rsidP="00F15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</w:p>
          <w:p w:rsidR="001D52CD" w:rsidRPr="00043DD7" w:rsidRDefault="001D52CD" w:rsidP="00F15F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b/>
                <w:sz w:val="19"/>
                <w:szCs w:val="19"/>
                <w:lang w:eastAsia="cs-CZ"/>
              </w:rPr>
              <w:t>Kategorie činnosti</w:t>
            </w:r>
          </w:p>
        </w:tc>
        <w:tc>
          <w:tcPr>
            <w:tcW w:w="4889" w:type="dxa"/>
          </w:tcPr>
          <w:p w:rsidR="001D52CD" w:rsidRPr="00043DD7" w:rsidRDefault="001D52CD" w:rsidP="001D5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 xml:space="preserve">Podpora nezakládající veřejnou podporu </w:t>
            </w:r>
          </w:p>
        </w:tc>
      </w:tr>
      <w:tr w:rsidR="001D52CD" w:rsidRPr="00043DD7" w:rsidTr="001D52CD">
        <w:tc>
          <w:tcPr>
            <w:tcW w:w="4889" w:type="dxa"/>
            <w:vMerge/>
          </w:tcPr>
          <w:p w:rsidR="001D52CD" w:rsidRPr="00043DD7" w:rsidRDefault="001D52CD" w:rsidP="00F15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</w:p>
        </w:tc>
        <w:tc>
          <w:tcPr>
            <w:tcW w:w="4889" w:type="dxa"/>
          </w:tcPr>
          <w:p w:rsidR="001D52CD" w:rsidRPr="00043DD7" w:rsidRDefault="001D52CD" w:rsidP="001D5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organizace pro výzkum a šíření znalostí</w:t>
            </w:r>
          </w:p>
        </w:tc>
      </w:tr>
      <w:tr w:rsidR="001D52CD" w:rsidRPr="00043DD7" w:rsidTr="001D52CD">
        <w:tc>
          <w:tcPr>
            <w:tcW w:w="4889" w:type="dxa"/>
          </w:tcPr>
          <w:p w:rsidR="001D52CD" w:rsidRPr="00043DD7" w:rsidRDefault="001D52CD" w:rsidP="00F15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Průmyslový výzkum</w:t>
            </w:r>
          </w:p>
        </w:tc>
        <w:tc>
          <w:tcPr>
            <w:tcW w:w="4889" w:type="dxa"/>
          </w:tcPr>
          <w:p w:rsidR="001D52CD" w:rsidRPr="00043DD7" w:rsidRDefault="001D52CD" w:rsidP="001D5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75%</w:t>
            </w:r>
          </w:p>
        </w:tc>
      </w:tr>
      <w:tr w:rsidR="001D52CD" w:rsidRPr="00043DD7" w:rsidTr="001D52CD">
        <w:tc>
          <w:tcPr>
            <w:tcW w:w="4889" w:type="dxa"/>
          </w:tcPr>
          <w:p w:rsidR="001D52CD" w:rsidRPr="00043DD7" w:rsidRDefault="001D52CD" w:rsidP="00F15F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Experimentální vývoj</w:t>
            </w:r>
          </w:p>
        </w:tc>
        <w:tc>
          <w:tcPr>
            <w:tcW w:w="4889" w:type="dxa"/>
          </w:tcPr>
          <w:p w:rsidR="001D52CD" w:rsidRPr="00043DD7" w:rsidRDefault="001D52CD" w:rsidP="001D5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cs-CZ"/>
              </w:rPr>
            </w:pPr>
            <w:r w:rsidRPr="00043DD7">
              <w:rPr>
                <w:rFonts w:ascii="Arial" w:eastAsia="Times New Roman" w:hAnsi="Arial" w:cs="Arial"/>
                <w:sz w:val="19"/>
                <w:szCs w:val="19"/>
                <w:lang w:eastAsia="cs-CZ"/>
              </w:rPr>
              <w:t>75%</w:t>
            </w:r>
          </w:p>
        </w:tc>
      </w:tr>
    </w:tbl>
    <w:p w:rsidR="001D52CD" w:rsidRPr="00043DD7" w:rsidRDefault="001D52CD" w:rsidP="00F15F82">
      <w:pPr>
        <w:rPr>
          <w:rFonts w:ascii="Arial" w:eastAsia="Times New Roman" w:hAnsi="Arial" w:cs="Arial"/>
          <w:sz w:val="19"/>
          <w:szCs w:val="19"/>
          <w:lang w:eastAsia="cs-CZ"/>
        </w:rPr>
      </w:pPr>
    </w:p>
    <w:p w:rsidR="003B7EEE" w:rsidRPr="00043DD7" w:rsidRDefault="001D52CD" w:rsidP="001D52CD">
      <w:pPr>
        <w:jc w:val="both"/>
        <w:rPr>
          <w:b/>
          <w:u w:val="single"/>
        </w:rPr>
      </w:pPr>
      <w:r w:rsidRPr="00043DD7">
        <w:rPr>
          <w:rFonts w:ascii="Arial" w:eastAsia="Times New Roman" w:hAnsi="Arial" w:cs="Arial"/>
          <w:b/>
          <w:sz w:val="19"/>
          <w:szCs w:val="19"/>
          <w:u w:val="single"/>
          <w:lang w:eastAsia="cs-CZ"/>
        </w:rPr>
        <w:t>Podíl aktivit podnikatelských subjektů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na celkových aktivitách projektu (způsobilých výdajích) musí být minimálně </w:t>
      </w: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50%.</w:t>
      </w:r>
    </w:p>
    <w:p w:rsidR="00F15F82" w:rsidRPr="00043DD7" w:rsidRDefault="00F15F82" w:rsidP="00F15F82">
      <w:pPr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>Míra podpory:</w:t>
      </w:r>
      <w:r w:rsidRPr="00043DD7">
        <w:rPr>
          <w:u w:val="single"/>
        </w:rPr>
        <w:t xml:space="preserve"> 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Maximální míra podpory za celý projekt je omezena na </w:t>
      </w:r>
      <w:r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70%.</w:t>
      </w:r>
    </w:p>
    <w:p w:rsidR="00F15F82" w:rsidRPr="00043DD7" w:rsidRDefault="00F15F82" w:rsidP="00F15F82">
      <w:pPr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 xml:space="preserve">Maximální a minimální výše dotace: 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Dotace na projekt je poskytována minimálně ve výši 1 mil. Kč a maximálně do výše </w:t>
      </w:r>
      <w:r w:rsidR="00331924" w:rsidRPr="00043DD7">
        <w:rPr>
          <w:rFonts w:ascii="Arial" w:eastAsia="Times New Roman" w:hAnsi="Arial" w:cs="Arial"/>
          <w:sz w:val="19"/>
          <w:szCs w:val="19"/>
          <w:lang w:eastAsia="cs-CZ"/>
        </w:rPr>
        <w:t>5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0 mil. Kč.</w:t>
      </w: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  <w:r w:rsidRPr="00043DD7">
        <w:rPr>
          <w:b/>
          <w:u w:val="single"/>
        </w:rPr>
        <w:t>Další důležité podmínky:</w:t>
      </w:r>
    </w:p>
    <w:p w:rsidR="00F15F82" w:rsidRPr="00043DD7" w:rsidRDefault="00F15F82" w:rsidP="00F15F8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Podporovány jsou projekty, jejichž výstupy se projeví v odvětvích vymezených oddíly CZ-NACE C 10 –11, 13 – 18, 20 - 33; D 35, E 38; F 41 – 43, J 58, 59, 61 - 63, M 69 – 72, 74, 75, N 78, S 95 (viz příloha výzvy č. </w:t>
      </w:r>
      <w:r w:rsidR="00963F7F" w:rsidRPr="00043DD7">
        <w:rPr>
          <w:rFonts w:ascii="Arial" w:eastAsia="Times New Roman" w:hAnsi="Arial" w:cs="Arial"/>
          <w:sz w:val="19"/>
          <w:szCs w:val="19"/>
          <w:lang w:eastAsia="cs-CZ"/>
        </w:rPr>
        <w:t>2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). </w:t>
      </w:r>
    </w:p>
    <w:p w:rsidR="00F15F82" w:rsidRPr="00043DD7" w:rsidRDefault="00963F7F" w:rsidP="00F15F8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Pokud je žadatel velkým podnikem, je v této výzvě oprávněn předložit pouze jeden projekt</w:t>
      </w:r>
      <w:r w:rsidR="000634BB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(tj. jednu aktivní žádost o podporu, ve kterých vystupuje jako žadatel nebo partner), MSP pak maximálně 2 projekty (tzn. dvě aktivní žádosti, ve kterých vystupuje jako žadatel nebo partner). Tato podmínka se nevztahuje na výzkumné organizace vystupující v roli partnera projektu.</w:t>
      </w:r>
    </w:p>
    <w:p w:rsidR="000634BB" w:rsidRPr="00043DD7" w:rsidRDefault="000634BB" w:rsidP="00F15F8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Příjemce je povinen</w:t>
      </w:r>
      <w:r w:rsidR="00331924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vykonávat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</w:t>
      </w:r>
      <w:r w:rsidR="00331924" w:rsidRPr="00043DD7">
        <w:rPr>
          <w:rFonts w:ascii="Arial" w:eastAsia="Times New Roman" w:hAnsi="Arial" w:cs="Arial"/>
          <w:sz w:val="19"/>
          <w:szCs w:val="19"/>
          <w:lang w:eastAsia="cs-CZ"/>
        </w:rPr>
        <w:t>podpořenou aktivitu / činnost v místě r</w:t>
      </w:r>
      <w:r w:rsidR="00043DD7" w:rsidRPr="00043DD7">
        <w:rPr>
          <w:rFonts w:ascii="Arial" w:eastAsia="Times New Roman" w:hAnsi="Arial" w:cs="Arial"/>
          <w:sz w:val="19"/>
          <w:szCs w:val="19"/>
          <w:lang w:eastAsia="cs-CZ"/>
        </w:rPr>
        <w:t>ealizace projektu dle podmínek v R</w:t>
      </w:r>
      <w:r w:rsidR="00331924" w:rsidRPr="00043DD7">
        <w:rPr>
          <w:rFonts w:ascii="Arial" w:eastAsia="Times New Roman" w:hAnsi="Arial" w:cs="Arial"/>
          <w:sz w:val="19"/>
          <w:szCs w:val="19"/>
          <w:lang w:eastAsia="cs-CZ"/>
        </w:rPr>
        <w:t>ozhodnutí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po dobu 5 let od poslední přijaté platby</w:t>
      </w:r>
      <w:r w:rsidR="00043DD7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podpory na účet příjemce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.</w:t>
      </w:r>
    </w:p>
    <w:p w:rsidR="000634BB" w:rsidRPr="00043DD7" w:rsidRDefault="000634BB" w:rsidP="00F15F8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Žadatel odůvodněně předpokládá, že výstupem projektu bude minimálně jeden z těchto výsledků </w:t>
      </w:r>
      <w:proofErr w:type="spellStart"/>
      <w:r w:rsidRPr="00043DD7">
        <w:rPr>
          <w:rFonts w:ascii="Arial" w:eastAsia="Times New Roman" w:hAnsi="Arial" w:cs="Arial"/>
          <w:sz w:val="19"/>
          <w:szCs w:val="19"/>
          <w:lang w:eastAsia="cs-CZ"/>
        </w:rPr>
        <w:t>VaV</w:t>
      </w:r>
      <w:proofErr w:type="spellEnd"/>
      <w:r w:rsidRPr="00043DD7">
        <w:rPr>
          <w:rFonts w:ascii="Arial" w:eastAsia="Times New Roman" w:hAnsi="Arial" w:cs="Arial"/>
          <w:sz w:val="19"/>
          <w:szCs w:val="19"/>
          <w:lang w:eastAsia="cs-CZ"/>
        </w:rPr>
        <w:t>: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Poloprovoz,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Ověřená technologie, 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Užitný vzor,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Průmyslový vzor,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Prototyp,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Funkční vzorek,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lastRenderedPageBreak/>
        <w:t>Certifikovaná metodika</w:t>
      </w:r>
    </w:p>
    <w:p w:rsidR="000634BB" w:rsidRPr="00043DD7" w:rsidRDefault="000634BB" w:rsidP="00561662">
      <w:pPr>
        <w:numPr>
          <w:ilvl w:val="0"/>
          <w:numId w:val="15"/>
        </w:numPr>
        <w:spacing w:after="0" w:line="240" w:lineRule="auto"/>
        <w:ind w:firstLine="414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Software</w:t>
      </w:r>
    </w:p>
    <w:p w:rsidR="000634BB" w:rsidRPr="00043DD7" w:rsidRDefault="000634BB" w:rsidP="00F15F8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Osobní náklady lze do projektu zahrnout pouze za předpokladu, že u jednotlivých zaměstnanců</w:t>
      </w:r>
      <w:r w:rsidR="00561662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, kteří jsou/byli zapojeni do projektu, za sledované období bylo u žadatele / příjemce / partnera dodrženo pravidlo max. </w:t>
      </w:r>
      <w:r w:rsidR="00561662" w:rsidRPr="00043DD7">
        <w:rPr>
          <w:rFonts w:ascii="Arial" w:eastAsia="Times New Roman" w:hAnsi="Arial" w:cs="Arial"/>
          <w:b/>
          <w:sz w:val="19"/>
          <w:szCs w:val="19"/>
          <w:lang w:eastAsia="cs-CZ"/>
        </w:rPr>
        <w:t>1,0</w:t>
      </w:r>
      <w:r w:rsidR="00561662"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 pracovního úvazku za zaměstnance. Toto příjemce / partner dokládá čestným prohlášením zaměstnavatele souhrnně za všechny zaměstnance.</w:t>
      </w: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</w:p>
    <w:p w:rsidR="00F15F82" w:rsidRPr="00043DD7" w:rsidRDefault="00F15F82" w:rsidP="00F15F82">
      <w:pPr>
        <w:spacing w:after="0" w:line="240" w:lineRule="auto"/>
        <w:jc w:val="both"/>
        <w:rPr>
          <w:b/>
          <w:u w:val="single"/>
        </w:rPr>
      </w:pPr>
    </w:p>
    <w:p w:rsidR="00F15F82" w:rsidRPr="00043DD7" w:rsidRDefault="00F15F82" w:rsidP="00F15F8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>Více informací zde:</w:t>
      </w:r>
      <w:r w:rsidRPr="00043DD7">
        <w:t xml:space="preserve"> </w:t>
      </w:r>
      <w:r w:rsidR="0038410C" w:rsidRPr="00043DD7">
        <w:t>https://www.mpo.cz/cz/podnikani/dotace-a-podpora-podnikani/oppik-2014-2020/vyzvy-op-pik-2017/aplikace---iv--vyzva--230810/</w:t>
      </w:r>
    </w:p>
    <w:p w:rsidR="00F15F82" w:rsidRPr="00043DD7" w:rsidRDefault="00F15F82" w:rsidP="00F15F82">
      <w:pPr>
        <w:spacing w:after="0" w:line="240" w:lineRule="auto"/>
        <w:jc w:val="right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b/>
          <w:u w:val="single"/>
        </w:rPr>
        <w:t>Zpracovala:</w:t>
      </w:r>
      <w:r w:rsidRPr="00043DD7">
        <w:t xml:space="preserve">  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Ing. Markéta Dubová, Ph.D.</w:t>
      </w:r>
    </w:p>
    <w:p w:rsidR="00561662" w:rsidRPr="00043DD7" w:rsidRDefault="00561662" w:rsidP="00F15F82">
      <w:pPr>
        <w:spacing w:after="0" w:line="240" w:lineRule="auto"/>
        <w:jc w:val="right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 xml:space="preserve">V Liberci dne 1. 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>9</w:t>
      </w:r>
      <w:r w:rsidRPr="00043DD7">
        <w:rPr>
          <w:rFonts w:ascii="Arial" w:eastAsia="Times New Roman" w:hAnsi="Arial" w:cs="Arial"/>
          <w:sz w:val="19"/>
          <w:szCs w:val="19"/>
          <w:lang w:eastAsia="cs-CZ"/>
        </w:rPr>
        <w:t>. 201</w:t>
      </w:r>
      <w:r w:rsidR="0038410C" w:rsidRPr="00043DD7">
        <w:rPr>
          <w:rFonts w:ascii="Arial" w:eastAsia="Times New Roman" w:hAnsi="Arial" w:cs="Arial"/>
          <w:sz w:val="19"/>
          <w:szCs w:val="19"/>
          <w:lang w:eastAsia="cs-CZ"/>
        </w:rPr>
        <w:t>7</w:t>
      </w:r>
    </w:p>
    <w:p w:rsidR="00F15F82" w:rsidRPr="0081072D" w:rsidRDefault="00F15F82" w:rsidP="00F15F82">
      <w:pPr>
        <w:spacing w:after="0" w:line="240" w:lineRule="auto"/>
        <w:jc w:val="right"/>
        <w:rPr>
          <w:rFonts w:ascii="Arial" w:eastAsia="Times New Roman" w:hAnsi="Arial" w:cs="Arial"/>
          <w:sz w:val="19"/>
          <w:szCs w:val="19"/>
          <w:lang w:eastAsia="cs-CZ"/>
        </w:rPr>
      </w:pPr>
      <w:r w:rsidRPr="00043DD7">
        <w:rPr>
          <w:rFonts w:ascii="Arial" w:eastAsia="Times New Roman" w:hAnsi="Arial" w:cs="Arial"/>
          <w:sz w:val="19"/>
          <w:szCs w:val="19"/>
          <w:lang w:eastAsia="cs-CZ"/>
        </w:rPr>
        <w:t>marketa.dubova@tul.cz</w:t>
      </w:r>
    </w:p>
    <w:p w:rsidR="001771A5" w:rsidRPr="0081072D" w:rsidRDefault="001771A5" w:rsidP="00AE48D1">
      <w:pPr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bookmarkStart w:id="0" w:name="_GoBack"/>
      <w:bookmarkEnd w:id="0"/>
    </w:p>
    <w:sectPr w:rsidR="001771A5" w:rsidRPr="0081072D" w:rsidSect="00FA3BCF">
      <w:headerReference w:type="default" r:id="rId9"/>
      <w:footerReference w:type="default" r:id="rId10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11" w:rsidRPr="00D91740" w:rsidRDefault="007E5E11" w:rsidP="00D91740">
      <w:r>
        <w:separator/>
      </w:r>
    </w:p>
  </w:endnote>
  <w:endnote w:type="continuationSeparator" w:id="0">
    <w:p w:rsidR="007E5E11" w:rsidRPr="00D91740" w:rsidRDefault="007E5E11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CF" w:rsidRDefault="00FF0CF4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21A21" wp14:editId="385157E7">
          <wp:simplePos x="0" y="0"/>
          <wp:positionH relativeFrom="column">
            <wp:posOffset>-727710</wp:posOffset>
          </wp:positionH>
          <wp:positionV relativeFrom="paragraph">
            <wp:posOffset>635</wp:posOffset>
          </wp:positionV>
          <wp:extent cx="7567295" cy="509905"/>
          <wp:effectExtent l="0" t="0" r="0" b="4445"/>
          <wp:wrapNone/>
          <wp:docPr id="16" name="obrázek 16" descr="TUL-word_Stránka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L-word_Stránka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312882">
      <w:rPr>
        <w:b/>
        <w:color w:val="C10A2B"/>
        <w:sz w:val="12"/>
        <w:szCs w:val="16"/>
      </w:rPr>
      <w:t>|</w:t>
    </w:r>
    <w:r w:rsidR="009116C9" w:rsidRPr="00B0699E">
      <w:rPr>
        <w:color w:val="C10A2B"/>
        <w:sz w:val="12"/>
        <w:szCs w:val="16"/>
      </w:rPr>
      <w:t xml:space="preserve"> </w:t>
    </w:r>
    <w:r w:rsidR="009116C9" w:rsidRPr="00B0699E">
      <w:rPr>
        <w:b/>
        <w:bCs/>
        <w:color w:val="C10A2B"/>
        <w:sz w:val="12"/>
        <w:szCs w:val="16"/>
      </w:rPr>
      <w:t xml:space="preserve">Ústav </w:t>
    </w:r>
    <w:r w:rsidR="00B0699E" w:rsidRPr="00B0699E">
      <w:rPr>
        <w:b/>
        <w:bCs/>
        <w:color w:val="C10A2B"/>
        <w:sz w:val="12"/>
        <w:szCs w:val="16"/>
      </w:rPr>
      <w:t xml:space="preserve">pro </w:t>
    </w:r>
    <w:proofErr w:type="spellStart"/>
    <w:r w:rsidR="00B0699E" w:rsidRPr="00B0699E">
      <w:rPr>
        <w:b/>
        <w:bCs/>
        <w:color w:val="C10A2B"/>
        <w:sz w:val="12"/>
        <w:szCs w:val="16"/>
      </w:rPr>
      <w:t>nanomateriály</w:t>
    </w:r>
    <w:proofErr w:type="spellEnd"/>
    <w:r w:rsidR="00B0699E" w:rsidRPr="00B0699E">
      <w:rPr>
        <w:b/>
        <w:bCs/>
        <w:color w:val="C10A2B"/>
        <w:sz w:val="12"/>
        <w:szCs w:val="16"/>
      </w:rPr>
      <w:t>, pokročilé technologie a inovace</w:t>
    </w:r>
    <w:r w:rsidR="00FA3BCF" w:rsidRPr="00B0699E">
      <w:rPr>
        <w:b/>
        <w:bCs/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Studentská 1402/2</w:t>
    </w:r>
    <w:r w:rsidR="00FA3BCF" w:rsidRPr="00B0699E">
      <w:rPr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B0699E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="00FA3BCF" w:rsidRPr="00FA3BCF">
      <w:rPr>
        <w:i/>
        <w:iCs/>
        <w:sz w:val="11"/>
        <w:szCs w:val="9"/>
      </w:rPr>
      <w:t xml:space="preserve">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proofErr w:type="gramStart"/>
    <w:r w:rsidR="00FA3BCF">
      <w:rPr>
        <w:i/>
        <w:iCs/>
        <w:color w:val="57585A"/>
        <w:sz w:val="11"/>
        <w:szCs w:val="9"/>
      </w:rPr>
      <w:t>www.</w:t>
    </w:r>
    <w:r>
      <w:rPr>
        <w:i/>
        <w:iCs/>
        <w:color w:val="57585A"/>
        <w:sz w:val="11"/>
        <w:szCs w:val="9"/>
      </w:rPr>
      <w:t>cxi</w:t>
    </w:r>
    <w:proofErr w:type="gramEnd"/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11" w:rsidRPr="00D91740" w:rsidRDefault="007E5E11" w:rsidP="00D91740">
      <w:r>
        <w:separator/>
      </w:r>
    </w:p>
  </w:footnote>
  <w:footnote w:type="continuationSeparator" w:id="0">
    <w:p w:rsidR="007E5E11" w:rsidRPr="00D91740" w:rsidRDefault="007E5E11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DF" w:rsidRPr="00D91740" w:rsidRDefault="00FF0CF4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951761" wp14:editId="4FAE849B">
          <wp:simplePos x="0" y="0"/>
          <wp:positionH relativeFrom="column">
            <wp:posOffset>-734060</wp:posOffset>
          </wp:positionH>
          <wp:positionV relativeFrom="paragraph">
            <wp:posOffset>-852170</wp:posOffset>
          </wp:positionV>
          <wp:extent cx="7567295" cy="1011555"/>
          <wp:effectExtent l="0" t="0" r="0" b="0"/>
          <wp:wrapNone/>
          <wp:docPr id="15" name="obrázek 15" descr="TUL-word_Stránka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979"/>
    <w:multiLevelType w:val="hybridMultilevel"/>
    <w:tmpl w:val="DD442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82D"/>
    <w:multiLevelType w:val="hybridMultilevel"/>
    <w:tmpl w:val="EBEEBF2E"/>
    <w:lvl w:ilvl="0" w:tplc="D3D8A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226C6"/>
    <w:multiLevelType w:val="multilevel"/>
    <w:tmpl w:val="88F8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176B9"/>
    <w:multiLevelType w:val="hybridMultilevel"/>
    <w:tmpl w:val="C1A0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A044C"/>
    <w:multiLevelType w:val="hybridMultilevel"/>
    <w:tmpl w:val="1DD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D6651"/>
    <w:multiLevelType w:val="multilevel"/>
    <w:tmpl w:val="108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15F57"/>
    <w:multiLevelType w:val="hybridMultilevel"/>
    <w:tmpl w:val="9384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31ADB"/>
    <w:multiLevelType w:val="hybridMultilevel"/>
    <w:tmpl w:val="1574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B4B53"/>
    <w:multiLevelType w:val="hybridMultilevel"/>
    <w:tmpl w:val="E86C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55281"/>
    <w:multiLevelType w:val="multilevel"/>
    <w:tmpl w:val="F00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F570FE"/>
    <w:multiLevelType w:val="multilevel"/>
    <w:tmpl w:val="3E3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A7EC1"/>
    <w:multiLevelType w:val="hybridMultilevel"/>
    <w:tmpl w:val="FCD89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97F84"/>
    <w:multiLevelType w:val="hybridMultilevel"/>
    <w:tmpl w:val="A010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414F7"/>
    <w:multiLevelType w:val="hybridMultilevel"/>
    <w:tmpl w:val="F5C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418E9"/>
    <w:multiLevelType w:val="multilevel"/>
    <w:tmpl w:val="C1A4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0"/>
    <w:rsid w:val="00016D7E"/>
    <w:rsid w:val="00020671"/>
    <w:rsid w:val="0002342B"/>
    <w:rsid w:val="000306B7"/>
    <w:rsid w:val="00037E8B"/>
    <w:rsid w:val="00043DD7"/>
    <w:rsid w:val="000634BB"/>
    <w:rsid w:val="000C73BA"/>
    <w:rsid w:val="000D5F6F"/>
    <w:rsid w:val="000F1B08"/>
    <w:rsid w:val="001472E5"/>
    <w:rsid w:val="001771A5"/>
    <w:rsid w:val="001903D8"/>
    <w:rsid w:val="001973DB"/>
    <w:rsid w:val="00197647"/>
    <w:rsid w:val="001A21D5"/>
    <w:rsid w:val="001A5FEB"/>
    <w:rsid w:val="001B4405"/>
    <w:rsid w:val="001D0688"/>
    <w:rsid w:val="001D52CD"/>
    <w:rsid w:val="001E574E"/>
    <w:rsid w:val="00253CFA"/>
    <w:rsid w:val="002C3C76"/>
    <w:rsid w:val="002D3228"/>
    <w:rsid w:val="002F2D27"/>
    <w:rsid w:val="0031128F"/>
    <w:rsid w:val="00312882"/>
    <w:rsid w:val="00331924"/>
    <w:rsid w:val="003534CF"/>
    <w:rsid w:val="00372720"/>
    <w:rsid w:val="0038410C"/>
    <w:rsid w:val="003855A8"/>
    <w:rsid w:val="00392572"/>
    <w:rsid w:val="003B7EEE"/>
    <w:rsid w:val="003C2732"/>
    <w:rsid w:val="003D4251"/>
    <w:rsid w:val="003E23D0"/>
    <w:rsid w:val="003F2AC0"/>
    <w:rsid w:val="003F5C1D"/>
    <w:rsid w:val="00404E7E"/>
    <w:rsid w:val="00412B10"/>
    <w:rsid w:val="0041455E"/>
    <w:rsid w:val="00415EDC"/>
    <w:rsid w:val="004262D3"/>
    <w:rsid w:val="0047294E"/>
    <w:rsid w:val="00487237"/>
    <w:rsid w:val="004961DC"/>
    <w:rsid w:val="004963A4"/>
    <w:rsid w:val="004D2CEC"/>
    <w:rsid w:val="004F2057"/>
    <w:rsid w:val="00501CA9"/>
    <w:rsid w:val="00520A88"/>
    <w:rsid w:val="0053584D"/>
    <w:rsid w:val="00540D92"/>
    <w:rsid w:val="0054208B"/>
    <w:rsid w:val="0054513A"/>
    <w:rsid w:val="00547F33"/>
    <w:rsid w:val="00561662"/>
    <w:rsid w:val="00581D47"/>
    <w:rsid w:val="005C195F"/>
    <w:rsid w:val="0060483A"/>
    <w:rsid w:val="00605B9E"/>
    <w:rsid w:val="0062547B"/>
    <w:rsid w:val="00635E47"/>
    <w:rsid w:val="00682258"/>
    <w:rsid w:val="006A2B2E"/>
    <w:rsid w:val="006A6532"/>
    <w:rsid w:val="006B2306"/>
    <w:rsid w:val="006C1248"/>
    <w:rsid w:val="00710BC1"/>
    <w:rsid w:val="0072545F"/>
    <w:rsid w:val="00727D1E"/>
    <w:rsid w:val="0073132C"/>
    <w:rsid w:val="0074099F"/>
    <w:rsid w:val="00771955"/>
    <w:rsid w:val="007E1211"/>
    <w:rsid w:val="007E1B00"/>
    <w:rsid w:val="007E3086"/>
    <w:rsid w:val="007E5E11"/>
    <w:rsid w:val="007F55A7"/>
    <w:rsid w:val="0081072D"/>
    <w:rsid w:val="0081349E"/>
    <w:rsid w:val="00830E69"/>
    <w:rsid w:val="00833C7F"/>
    <w:rsid w:val="008A71A9"/>
    <w:rsid w:val="008B23A7"/>
    <w:rsid w:val="008C0752"/>
    <w:rsid w:val="008C7C74"/>
    <w:rsid w:val="009116C9"/>
    <w:rsid w:val="0093268F"/>
    <w:rsid w:val="009338CB"/>
    <w:rsid w:val="00935579"/>
    <w:rsid w:val="00940BBE"/>
    <w:rsid w:val="009562F4"/>
    <w:rsid w:val="00963F7F"/>
    <w:rsid w:val="00965F81"/>
    <w:rsid w:val="00991063"/>
    <w:rsid w:val="009A7575"/>
    <w:rsid w:val="009B3FFE"/>
    <w:rsid w:val="009B6FDE"/>
    <w:rsid w:val="009C3F89"/>
    <w:rsid w:val="009C4DEC"/>
    <w:rsid w:val="009E5571"/>
    <w:rsid w:val="009F2C66"/>
    <w:rsid w:val="009F509E"/>
    <w:rsid w:val="00A1575D"/>
    <w:rsid w:val="00A168E4"/>
    <w:rsid w:val="00A220F0"/>
    <w:rsid w:val="00A33557"/>
    <w:rsid w:val="00A344AE"/>
    <w:rsid w:val="00A43C9D"/>
    <w:rsid w:val="00A51007"/>
    <w:rsid w:val="00A83757"/>
    <w:rsid w:val="00A968CA"/>
    <w:rsid w:val="00AB54AD"/>
    <w:rsid w:val="00AB6EAC"/>
    <w:rsid w:val="00AC1DAC"/>
    <w:rsid w:val="00AC6790"/>
    <w:rsid w:val="00AE076C"/>
    <w:rsid w:val="00AE48D1"/>
    <w:rsid w:val="00B064AE"/>
    <w:rsid w:val="00B0699E"/>
    <w:rsid w:val="00B11F36"/>
    <w:rsid w:val="00B22B3F"/>
    <w:rsid w:val="00B2558D"/>
    <w:rsid w:val="00B306CF"/>
    <w:rsid w:val="00B36441"/>
    <w:rsid w:val="00B44EB9"/>
    <w:rsid w:val="00B601DE"/>
    <w:rsid w:val="00B65538"/>
    <w:rsid w:val="00B67E74"/>
    <w:rsid w:val="00B82B57"/>
    <w:rsid w:val="00B94D65"/>
    <w:rsid w:val="00BA1C9D"/>
    <w:rsid w:val="00BC2A09"/>
    <w:rsid w:val="00BD450D"/>
    <w:rsid w:val="00BE4CE5"/>
    <w:rsid w:val="00C10B57"/>
    <w:rsid w:val="00C23949"/>
    <w:rsid w:val="00C9715E"/>
    <w:rsid w:val="00CB430D"/>
    <w:rsid w:val="00CC5240"/>
    <w:rsid w:val="00D277CE"/>
    <w:rsid w:val="00D5465B"/>
    <w:rsid w:val="00D60856"/>
    <w:rsid w:val="00D91740"/>
    <w:rsid w:val="00DA6B6A"/>
    <w:rsid w:val="00DF3F1D"/>
    <w:rsid w:val="00DF48E0"/>
    <w:rsid w:val="00E0357F"/>
    <w:rsid w:val="00E267EE"/>
    <w:rsid w:val="00E63C1E"/>
    <w:rsid w:val="00E76C95"/>
    <w:rsid w:val="00E91D5F"/>
    <w:rsid w:val="00EB40DD"/>
    <w:rsid w:val="00EC145D"/>
    <w:rsid w:val="00F06EA0"/>
    <w:rsid w:val="00F120AD"/>
    <w:rsid w:val="00F1350D"/>
    <w:rsid w:val="00F15F82"/>
    <w:rsid w:val="00F15FF1"/>
    <w:rsid w:val="00F21D13"/>
    <w:rsid w:val="00F227ED"/>
    <w:rsid w:val="00F47ADC"/>
    <w:rsid w:val="00F47BDF"/>
    <w:rsid w:val="00F85E8B"/>
    <w:rsid w:val="00FA3BCF"/>
    <w:rsid w:val="00FB2A8C"/>
    <w:rsid w:val="00FC7439"/>
    <w:rsid w:val="00FD1678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table" w:styleId="Mkatabulky">
    <w:name w:val="Table Grid"/>
    <w:basedOn w:val="Normlntabulka"/>
    <w:uiPriority w:val="59"/>
    <w:rsid w:val="001D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6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6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6C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table" w:styleId="Mkatabulky">
    <w:name w:val="Table Grid"/>
    <w:basedOn w:val="Normlntabulka"/>
    <w:uiPriority w:val="59"/>
    <w:rsid w:val="001D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6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6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6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a\AppData\Local\Temp\cxi-hlavickovy-papir-zaklad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FAF3-9119-40A5-9D32-2DCFD8DE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cxi-hlavickovy-papir-zakladni-cz.dotx</Template>
  <TotalTime>0</TotalTime>
  <Pages>3</Pages>
  <Words>1033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2016-12-01T09:39:00Z</dcterms:created>
  <dcterms:modified xsi:type="dcterms:W3CDTF">2017-09-01T11:39:00Z</dcterms:modified>
</cp:coreProperties>
</file>